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С</w:t>
      </w:r>
      <w:r>
        <w:rPr>
          <w:rFonts w:ascii="Times New Roman" w:hAnsi="Times New Roman"/>
          <w:b w:val="1"/>
          <w:sz w:val="32"/>
        </w:rPr>
        <w:t>амообследовани</w:t>
      </w:r>
      <w:r>
        <w:rPr>
          <w:rFonts w:ascii="Times New Roman" w:hAnsi="Times New Roman"/>
          <w:b w:val="1"/>
          <w:sz w:val="32"/>
        </w:rPr>
        <w:t>е</w:t>
      </w:r>
      <w:r>
        <w:rPr>
          <w:rFonts w:ascii="Times New Roman" w:hAnsi="Times New Roman"/>
          <w:b w:val="1"/>
          <w:sz w:val="32"/>
        </w:rPr>
        <w:t xml:space="preserve"> МБОУ «Большешемякинская СОШ» за 2024 год</w:t>
      </w:r>
    </w:p>
    <w:p w14:paraId="02000000"/>
    <w:p w14:paraId="03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ЧАСТЬ I. АНАЛИТИЧЕСКАЯ ЧАСТЬ САМООБСЛЕДОВАНИЯ</w:t>
      </w:r>
    </w:p>
    <w:p w14:paraId="04000000">
      <w:pPr>
        <w:spacing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I. Общие сведения об образовательной организации</w:t>
      </w:r>
    </w:p>
    <w:tbl>
      <w:tblPr>
        <w:tblStyle w:val="Style_1"/>
        <w:tblInd w:type="dxa" w:w="10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</w:tblPr>
      <w:tblGrid>
        <w:gridCol w:w="3270"/>
        <w:gridCol w:w="10423"/>
      </w:tblGrid>
      <w:tr>
        <w:trPr>
          <w:trHeight w:hRule="atLeast" w:val="612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образовательной организации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учреждение «Большешемякинская средняя общеобразовательная школа» Тетюшского муниципального района Республики Татарстан</w:t>
            </w:r>
          </w:p>
        </w:tc>
      </w:tr>
      <w:tr>
        <w:trPr>
          <w:trHeight w:hRule="atLeast" w:val="395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Тухтаркина Светлана Валентиновна</w:t>
            </w:r>
          </w:p>
        </w:tc>
      </w:tr>
      <w:tr>
        <w:trPr>
          <w:trHeight w:hRule="atLeast" w:val="395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организации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422374,Республика Татарстан, Тетюшский район, с.Большое Шемякино, ул.Школьная, д.76</w:t>
            </w:r>
          </w:p>
        </w:tc>
      </w:tr>
      <w:tr>
        <w:trPr>
          <w:trHeight w:hRule="atLeast" w:val="397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8(84373)56-6-45</w:t>
            </w:r>
          </w:p>
        </w:tc>
      </w:tr>
      <w:tr>
        <w:trPr>
          <w:trHeight w:hRule="atLeast" w:val="440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Адрес электронной почты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Sbsm.Tet@tatar.ru</w:t>
            </w:r>
          </w:p>
        </w:tc>
      </w:tr>
      <w:tr>
        <w:trPr>
          <w:trHeight w:hRule="atLeast" w:val="671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Учредитель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образование «Тетюшский муниципальный район Республики Татарстан» в лице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МКУ «Исполнительный комитет Тетюшского муниципального района Республики Татарстан»</w:t>
            </w:r>
          </w:p>
        </w:tc>
      </w:tr>
      <w:tr>
        <w:trPr>
          <w:trHeight w:hRule="atLeast" w:val="397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 создания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1983 год</w:t>
            </w:r>
          </w:p>
        </w:tc>
      </w:tr>
      <w:tr>
        <w:trPr>
          <w:trHeight w:hRule="atLeast" w:val="433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Лицензия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18.05.2015 № Л035-01272-16/00251580</w:t>
            </w:r>
          </w:p>
        </w:tc>
      </w:tr>
      <w:tr>
        <w:trPr>
          <w:trHeight w:hRule="atLeast" w:val="681"/>
        </w:trPr>
        <w:tc>
          <w:tcPr>
            <w:tcW w:type="dxa" w:w="327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Свидетельство о государственной аккредитации</w:t>
            </w:r>
          </w:p>
        </w:tc>
        <w:tc>
          <w:tcPr>
            <w:tcW w:type="dxa" w:w="1042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18.07.2016 № А007-01272-16/01140895 . Основной государственный регистрационный номер: 1021606558335. Срок действия: бессрочно</w:t>
            </w:r>
          </w:p>
        </w:tc>
      </w:tr>
    </w:tbl>
    <w:p w14:paraId="17000000">
      <w:pPr>
        <w:spacing w:after="0"/>
        <w:ind/>
        <w:rPr>
          <w:rFonts w:ascii="Times New Roman" w:hAnsi="Times New Roman"/>
          <w:sz w:val="28"/>
        </w:rPr>
      </w:pPr>
    </w:p>
    <w:p w14:paraId="18000000">
      <w:pPr>
        <w:spacing w:after="0"/>
        <w:ind/>
        <w:rPr>
          <w:rFonts w:ascii="Times New Roman" w:hAnsi="Times New Roman"/>
          <w:sz w:val="28"/>
        </w:rPr>
      </w:pPr>
    </w:p>
    <w:p w14:paraId="19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</w:t>
      </w:r>
    </w:p>
    <w:p w14:paraId="1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Управление Учреждением строится на основе сочетания принципов единоначалия и коллегиальности. Органы управления, действующие в Школе: директор, педагогический совет, общее собрание работников.</w:t>
      </w:r>
    </w:p>
    <w:p w14:paraId="1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2023</w:t>
      </w:r>
      <w:r>
        <w:rPr>
          <w:rFonts w:ascii="Times New Roman" w:hAnsi="Times New Roman"/>
          <w:sz w:val="28"/>
        </w:rPr>
        <w:t xml:space="preserve"> год проведено 9 педагогических советов, 1 общее собрание трудового коллектива.</w:t>
      </w:r>
    </w:p>
    <w:p w14:paraId="1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осуществления учебно-методической работы в школе создано 4  методических объединений:</w:t>
      </w:r>
    </w:p>
    <w:p w14:paraId="1D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 учителей гуманитарного цикла;</w:t>
      </w:r>
    </w:p>
    <w:p w14:paraId="1E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 учителей естественно-математического цикла;</w:t>
      </w:r>
    </w:p>
    <w:p w14:paraId="1F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 учителей начальной школы;</w:t>
      </w:r>
    </w:p>
    <w:p w14:paraId="20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 классных руководителей.</w:t>
      </w:r>
    </w:p>
    <w:p w14:paraId="21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учета мнения обучающихся и родителей (законных представителей) несовершеннолетних обучающихся в школе действуют родительский  комитет и Совет учащихся.</w:t>
      </w:r>
    </w:p>
    <w:p w14:paraId="22000000">
      <w:pPr>
        <w:spacing w:after="0"/>
        <w:ind/>
        <w:rPr>
          <w:rFonts w:ascii="Times New Roman" w:hAnsi="Times New Roman"/>
          <w:sz w:val="28"/>
        </w:rPr>
      </w:pPr>
    </w:p>
    <w:p w14:paraId="2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ЧАСТЬ II.РЕЗУЛЬТАТЫ АНАЛИЗА ПОКАЗАТЕЛЕЙ ДЕЯТЕЛЬНОСТИ  ЗА 2024</w:t>
      </w:r>
      <w:r>
        <w:rPr>
          <w:rFonts w:ascii="Times New Roman" w:hAnsi="Times New Roman"/>
          <w:b w:val="1"/>
          <w:sz w:val="28"/>
        </w:rPr>
        <w:t xml:space="preserve"> ГОД.</w:t>
      </w:r>
    </w:p>
    <w:tbl>
      <w:tblPr>
        <w:tblStyle w:val="Style_1"/>
        <w:tblInd w:type="dxa" w:w="3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956"/>
        <w:gridCol w:w="12114"/>
        <w:gridCol w:w="2099"/>
      </w:tblGrid>
      <w:tr>
        <w:trPr>
          <w:trHeight w:hRule="atLeast" w:val="15"/>
        </w:trPr>
        <w:tc>
          <w:tcPr>
            <w:tcW w:type="dxa" w:w="956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4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2114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5000000">
            <w:pPr>
              <w:spacing w:after="0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099"/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26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N п/п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Показатели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Ед.измерения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Образовательная деятельность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Общая численность учащихся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2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  <w:r>
              <w:rPr>
                <w:rFonts w:ascii="Times New Roman" w:hAnsi="Times New Roman"/>
                <w:sz w:val="28"/>
              </w:rPr>
              <w:t xml:space="preserve"> человек</w:t>
            </w:r>
            <w:r>
              <w:rPr>
                <w:rFonts w:ascii="Times New Roman" w:hAnsi="Times New Roman"/>
                <w:sz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</w:rPr>
              <w:t xml:space="preserve">           </w:t>
            </w:r>
            <w:r>
              <w:rPr>
                <w:rFonts w:ascii="Times New Roman" w:hAnsi="Times New Roman"/>
                <w:sz w:val="28"/>
              </w:rPr>
              <w:t xml:space="preserve">                 9</w:t>
            </w:r>
            <w:r>
              <w:rPr>
                <w:rFonts w:ascii="Times New Roman" w:hAnsi="Times New Roman"/>
                <w:sz w:val="28"/>
              </w:rPr>
              <w:t xml:space="preserve"> кл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комплект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 xml:space="preserve"> человек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>
              <w:rPr>
                <w:rFonts w:ascii="Times New Roman" w:hAnsi="Times New Roman"/>
                <w:sz w:val="28"/>
              </w:rPr>
              <w:t xml:space="preserve"> человек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1.4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 человек 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1.5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36/64%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79,5</w:t>
            </w:r>
            <w:r>
              <w:rPr>
                <w:rFonts w:ascii="Times New Roman" w:hAnsi="Times New Roman"/>
                <w:sz w:val="28"/>
              </w:rPr>
              <w:tab/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1.7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84,5 (профиль)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1.10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человек/0%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человек/0%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человек/0%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1.13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человек/0%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1.14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человек/0%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>
              <w:rPr>
                <w:rFonts w:ascii="Times New Roman" w:hAnsi="Times New Roman"/>
                <w:sz w:val="28"/>
              </w:rPr>
              <w:t xml:space="preserve">15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человек/%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1.16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человек /0%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1.17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 человек/</w:t>
            </w:r>
            <w:r>
              <w:rPr>
                <w:rFonts w:ascii="Times New Roman" w:hAnsi="Times New Roman"/>
                <w:sz w:val="28"/>
              </w:rPr>
              <w:t>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1.18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47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72</w:t>
            </w:r>
            <w:r>
              <w:rPr>
                <w:rFonts w:ascii="Times New Roman" w:hAnsi="Times New Roman"/>
                <w:sz w:val="28"/>
              </w:rPr>
              <w:t>/%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1.19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Численность/удельный вес численности учащихся-победителе</w:t>
            </w:r>
            <w:r>
              <w:rPr>
                <w:rFonts w:ascii="Times New Roman" w:hAnsi="Times New Roman"/>
                <w:sz w:val="28"/>
              </w:rPr>
              <w:t>й и призеров олимпиад, смотров, конкурсов, в общей численности учащихся, в том числе: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22/59</w:t>
            </w:r>
            <w:r>
              <w:rPr>
                <w:rFonts w:ascii="Times New Roman" w:hAnsi="Times New Roman"/>
                <w:sz w:val="28"/>
              </w:rPr>
              <w:t>/%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1.19.1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Регионального уровня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/</w:t>
            </w:r>
            <w:r>
              <w:rPr>
                <w:rFonts w:ascii="Times New Roman" w:hAnsi="Times New Roman"/>
                <w:sz w:val="28"/>
              </w:rPr>
              <w:t>16</w:t>
            </w:r>
            <w:r>
              <w:rPr>
                <w:rFonts w:ascii="Times New Roman" w:hAnsi="Times New Roman"/>
                <w:sz w:val="28"/>
              </w:rPr>
              <w:t>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1.19.2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Федерального уровня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1.19.3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Международного уровня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1.20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  <w:bookmarkStart w:id="1" w:name="_GoBack"/>
            <w:bookmarkEnd w:id="1"/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6/16%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6/16%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0человек/0%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1.23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0человек/0%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1.24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Общая численность педагогических работников, в том числе: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1.25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человек/100%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1.26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человек/100%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1.27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0/ 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1.28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0/ 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1.29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человек/100%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1.29.1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Высшая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1.29.2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Первая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 человек/100%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1.30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1.30.1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 5 лет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1.30.2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Свыше 30 лет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человек/11</w:t>
            </w:r>
            <w:r>
              <w:rPr>
                <w:rFonts w:ascii="Times New Roman" w:hAnsi="Times New Roman"/>
                <w:sz w:val="28"/>
              </w:rPr>
              <w:t>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/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</w:t>
            </w:r>
            <w:r>
              <w:rPr>
                <w:rFonts w:ascii="Times New Roman" w:hAnsi="Times New Roman"/>
                <w:sz w:val="28"/>
              </w:rPr>
              <w:t>человек</w:t>
            </w:r>
            <w:r>
              <w:rPr>
                <w:rFonts w:ascii="Times New Roman" w:hAnsi="Times New Roman"/>
                <w:sz w:val="28"/>
              </w:rPr>
              <w:t>/13</w:t>
            </w:r>
            <w:r>
              <w:rPr>
                <w:rFonts w:ascii="Times New Roman" w:hAnsi="Times New Roman"/>
                <w:sz w:val="28"/>
              </w:rPr>
              <w:t>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1.33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 xml:space="preserve"> человек/ 100/%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9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1.34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 xml:space="preserve"> человек/ 100/%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Инфраструктура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  <w:r>
              <w:rPr>
                <w:rFonts w:ascii="Times New Roman" w:hAnsi="Times New Roman"/>
                <w:sz w:val="28"/>
              </w:rPr>
              <w:t xml:space="preserve">  компьютер;  </w:t>
            </w:r>
            <w:r>
              <w:rPr>
                <w:rFonts w:ascii="Times New Roman" w:hAnsi="Times New Roman"/>
                <w:sz w:val="28"/>
              </w:rPr>
              <w:t xml:space="preserve">                       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2.3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читального зала библиотеки, в том числе: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нет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2.4.1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нет 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2.4.2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 медиатекой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нет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2.4.3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нет 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2.4.4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 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2.4.5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контролируемой распечаткой бумажных материалов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B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C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2.5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C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 человек</w:t>
            </w:r>
            <w:r>
              <w:rPr>
                <w:rFonts w:ascii="Times New Roman" w:hAnsi="Times New Roman"/>
                <w:sz w:val="28"/>
              </w:rPr>
              <w:t>/100/%</w:t>
            </w:r>
          </w:p>
        </w:tc>
      </w:tr>
      <w:tr>
        <w:tc>
          <w:tcPr>
            <w:tcW w:type="dxa" w:w="9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C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2.6 </w:t>
            </w:r>
          </w:p>
        </w:tc>
        <w:tc>
          <w:tcPr>
            <w:tcW w:type="dxa" w:w="12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C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type="dxa" w:w="20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5"/>
              <w:left w:type="dxa" w:w="149"/>
              <w:bottom w:type="dxa" w:w="15"/>
              <w:right w:type="dxa" w:w="149"/>
            </w:tcMar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кв.м 12</w:t>
            </w:r>
          </w:p>
        </w:tc>
      </w:tr>
    </w:tbl>
    <w:p w14:paraId="C6000000">
      <w:pPr>
        <w:tabs>
          <w:tab w:leader="none" w:pos="11295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</w:p>
    <w:p w14:paraId="C7000000">
      <w:pPr>
        <w:tabs>
          <w:tab w:leader="none" w:pos="1129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C8000000">
      <w:pPr>
        <w:tabs>
          <w:tab w:leader="none" w:pos="1129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C9000000">
      <w:pPr>
        <w:tabs>
          <w:tab w:leader="none" w:pos="11295" w:val="left"/>
        </w:tabs>
        <w:spacing w:after="0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 школы:                С.В.Тухтаркина</w:t>
      </w:r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pPr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2026-05-14T10:57:47Z</dcterms:modified>
</cp:coreProperties>
</file>